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  <w:jc w:val="center"/>
        <w:widowControl/>
      </w:pPr>
      <w:r>
        <w:rPr>
          <w:rFonts w:ascii="Times New Roman" w:hAnsi="Times New Roman" w:eastAsia="Times New Roman"/>
          <w:b/>
          <w:sz w:val="26"/>
          <w:color w:val="000000"/>
        </w:rPr>
        <w:t>УСЛОВИЯ КОНКУРСА ХУДОЖНИКОВ</w:t>
      </w:r>
    </w:p>
    <w:p>
      <w:pPr>
        <w:spacing w:after="200"/>
        <w:jc w:val="center"/>
        <w:widowControl/>
      </w:pPr>
      <w:r>
        <w:rPr>
          <w:rFonts w:ascii="Times New Roman" w:hAnsi="Times New Roman" w:eastAsia="Times New Roman"/>
          <w:sz w:val="22"/>
          <w:color w:val="000000"/>
        </w:rPr>
        <w:t>Арт-маркет «Заря»</w:t>
        <w:br/>
        <w:t>«Зимняя Заря»</w:t>
      </w:r>
    </w:p>
    <w:p>
      <w:pPr>
        <w:keepNext/>
        <w:spacing w:before="80" w:after="40"/>
        <w:widowControl/>
      </w:pPr>
      <w:r>
        <w:rPr>
          <w:rFonts w:ascii="Times New Roman" w:hAnsi="Times New Roman" w:eastAsia="Times New Roman"/>
          <w:b/>
          <w:sz w:val="22"/>
          <w:color w:val="000000"/>
        </w:rPr>
        <w:t>1. Определение победителей</w:t>
      </w:r>
    </w:p>
    <w:p>
      <w:pPr>
        <w:spacing w:line="240" w:lineRule="auto" w:after="60"/>
        <w:ind w:firstLine="567"/>
        <w:jc w:val="both"/>
        <w:widowControl/>
      </w:pPr>
      <w:r>
        <w:rPr>
          <w:rFonts w:ascii="Times New Roman" w:hAnsi="Times New Roman" w:eastAsia="Times New Roman"/>
          <w:sz w:val="22"/>
          <w:color w:val="000000"/>
        </w:rPr>
        <w:t>Оценка конкурсных работ и определение победителей осуществляются командой арт-маркета «Заря» по собственному усмотрению. Оценка носит субъективный характер. Количество отметок «Нравится», комментариев, репостов, просмотров и иные показатели активности в социальных сетях не являются критериями оценки и не влияют на результаты конкурса.</w:t>
      </w:r>
    </w:p>
    <w:p>
      <w:pPr>
        <w:keepNext/>
        <w:spacing w:before="80" w:after="40"/>
        <w:widowControl/>
      </w:pPr>
      <w:r>
        <w:rPr>
          <w:rFonts w:ascii="Times New Roman" w:hAnsi="Times New Roman" w:eastAsia="Times New Roman"/>
          <w:b/>
          <w:sz w:val="22"/>
          <w:color w:val="000000"/>
        </w:rPr>
        <w:t>2. Передача призов</w:t>
      </w:r>
    </w:p>
    <w:p>
      <w:pPr>
        <w:spacing w:line="240" w:lineRule="auto" w:after="60"/>
        <w:ind w:firstLine="567"/>
        <w:jc w:val="both"/>
        <w:widowControl/>
      </w:pPr>
      <w:r>
        <w:rPr>
          <w:rFonts w:ascii="Times New Roman" w:hAnsi="Times New Roman" w:eastAsia="Times New Roman"/>
          <w:sz w:val="22"/>
          <w:color w:val="000000"/>
        </w:rPr>
        <w:t>Материальные призы направляются победителям посредством сервиса «Яндекс Доставка» в течение 30 календарных дней со дня объявления результатов конкурса при условии своевременного предоставления победителем данных, необходимых для отправки.</w:t>
      </w:r>
    </w:p>
    <w:p>
      <w:pPr>
        <w:keepNext/>
        <w:spacing w:before="80" w:after="40"/>
        <w:widowControl/>
      </w:pPr>
      <w:r>
        <w:rPr>
          <w:rFonts w:ascii="Times New Roman" w:hAnsi="Times New Roman" w:eastAsia="Times New Roman"/>
          <w:b/>
          <w:sz w:val="22"/>
          <w:color w:val="000000"/>
        </w:rPr>
        <w:t>3. Денежная замена</w:t>
      </w:r>
    </w:p>
    <w:p>
      <w:pPr>
        <w:spacing w:line="240" w:lineRule="auto" w:after="60"/>
        <w:ind w:firstLine="567"/>
        <w:jc w:val="both"/>
        <w:widowControl/>
      </w:pPr>
      <w:r>
        <w:rPr>
          <w:rFonts w:ascii="Times New Roman" w:hAnsi="Times New Roman" w:eastAsia="Times New Roman"/>
          <w:sz w:val="22"/>
          <w:color w:val="000000"/>
        </w:rPr>
        <w:t>Призы, а также право на предоставление стола на арт-маркете не подлежат обмену, возврату или замене денежной компенсацией.</w:t>
      </w:r>
    </w:p>
    <w:p>
      <w:pPr>
        <w:keepNext/>
        <w:spacing w:before="80" w:after="40"/>
        <w:widowControl/>
      </w:pPr>
      <w:r>
        <w:rPr>
          <w:rFonts w:ascii="Times New Roman" w:hAnsi="Times New Roman" w:eastAsia="Times New Roman"/>
          <w:b/>
          <w:sz w:val="22"/>
          <w:color w:val="000000"/>
        </w:rPr>
        <w:t>4. Использование призового стола</w:t>
      </w:r>
    </w:p>
    <w:p>
      <w:pPr>
        <w:spacing w:line="240" w:lineRule="auto" w:after="60"/>
        <w:ind w:firstLine="567"/>
        <w:jc w:val="both"/>
        <w:widowControl/>
      </w:pPr>
      <w:r>
        <w:rPr>
          <w:rFonts w:ascii="Times New Roman" w:hAnsi="Times New Roman" w:eastAsia="Times New Roman"/>
          <w:sz w:val="22"/>
          <w:color w:val="000000"/>
        </w:rPr>
        <w:t>Стол предоставляется победителю исключительно для личного участия в маркете. Передача, продажа или дарение права на стол другому лицу не допускаются. Совместное использование одного стола с другом, другим автором или участником, включая разделение стола на две части, запрещено.</w:t>
      </w:r>
    </w:p>
    <w:p>
      <w:pPr>
        <w:keepNext/>
        <w:spacing w:before="80" w:after="40"/>
        <w:widowControl/>
      </w:pPr>
      <w:r>
        <w:rPr>
          <w:rFonts w:ascii="Times New Roman" w:hAnsi="Times New Roman" w:eastAsia="Times New Roman"/>
          <w:b/>
          <w:sz w:val="22"/>
          <w:color w:val="000000"/>
        </w:rPr>
        <w:t>5. Срок действия права на стол</w:t>
      </w:r>
    </w:p>
    <w:p>
      <w:pPr>
        <w:spacing w:line="240" w:lineRule="auto" w:after="60"/>
        <w:ind w:firstLine="567"/>
        <w:jc w:val="both"/>
        <w:widowControl/>
      </w:pPr>
      <w:r>
        <w:rPr>
          <w:rFonts w:ascii="Times New Roman" w:hAnsi="Times New Roman" w:eastAsia="Times New Roman"/>
          <w:sz w:val="22"/>
          <w:color w:val="000000"/>
        </w:rPr>
        <w:t>Право на призовой стол может быть реализовано только на арт-маркете «Зимняя Заря», который состоится 20 декабря. Перенос права на другой маркет или иную дату не предусмотрен.</w:t>
      </w:r>
    </w:p>
    <w:p>
      <w:pPr>
        <w:keepNext/>
        <w:spacing w:before="80" w:after="40"/>
        <w:widowControl/>
      </w:pPr>
      <w:r>
        <w:rPr>
          <w:rFonts w:ascii="Times New Roman" w:hAnsi="Times New Roman" w:eastAsia="Times New Roman"/>
          <w:b/>
          <w:sz w:val="22"/>
          <w:color w:val="000000"/>
        </w:rPr>
        <w:t>6. Использование конкурсных работ</w:t>
      </w:r>
    </w:p>
    <w:p>
      <w:pPr>
        <w:spacing w:line="240" w:lineRule="auto" w:after="60"/>
        <w:ind w:firstLine="567"/>
        <w:jc w:val="both"/>
        <w:widowControl/>
      </w:pPr>
      <w:r>
        <w:rPr>
          <w:rFonts w:ascii="Times New Roman" w:hAnsi="Times New Roman" w:eastAsia="Times New Roman"/>
          <w:sz w:val="22"/>
          <w:color w:val="000000"/>
        </w:rPr>
        <w:t>Направляя работу на конкурс, участник подтверждает своё авторство и предоставляет организатору безвозмездное неисключительное право использовать конкурсную работу в информационных, рекламных и оформительских материалах арт-маркета «Заря», в том числе публиковать её в социальных сетях и на сайте, а также воспроизводить на сувенирной и иной мерч-продукции. Исключительные права на работу сохраняются за автором.</w:t>
      </w:r>
    </w:p>
    <w:p>
      <w:pPr>
        <w:keepNext/>
        <w:spacing w:before="80" w:after="40"/>
        <w:widowControl/>
      </w:pPr>
      <w:r>
        <w:rPr>
          <w:rFonts w:ascii="Times New Roman" w:hAnsi="Times New Roman" w:eastAsia="Times New Roman"/>
          <w:b/>
          <w:sz w:val="22"/>
          <w:color w:val="000000"/>
        </w:rPr>
        <w:t>Использование работ вне призовых мест</w:t>
      </w:r>
    </w:p>
    <w:p>
      <w:pPr>
        <w:spacing w:line="240" w:lineRule="auto" w:after="60"/>
        <w:ind w:firstLine="567"/>
        <w:jc w:val="both"/>
        <w:widowControl/>
      </w:pPr>
      <w:r>
        <w:rPr>
          <w:rFonts w:ascii="Times New Roman" w:hAnsi="Times New Roman" w:eastAsia="Times New Roman"/>
          <w:sz w:val="22"/>
          <w:color w:val="000000"/>
        </w:rPr>
        <w:t>Нам может понравиться больше работ, чем предусмотрено призовых мест. Если команда «Зари» захочет выпустить мерч с работой участника, не вошедшего в число победителей, мы обязательно предварительно свяжемся с автором, расскажем о задумке и согласуем технические детали. Использование работы будет сопровождаться указанием имени или псевдонима автора, если это допускает формат публикации или продукции.</w:t>
      </w:r>
    </w:p>
    <w:sectPr w:rsidR="00FC693F" w:rsidRPr="0006063C" w:rsidSect="00034616">
      <w:pgSz w:w="12240" w:h="15840"/>
      <w:pgMar w:top="964" w:right="1020" w:bottom="96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